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0D9DF01" w14:textId="77777777" w:rsidR="004C7F6E" w:rsidRDefault="004C7F6E">
      <w:pPr>
        <w:pStyle w:val="Titre2"/>
        <w:rPr>
          <w:rFonts w:ascii="Arial" w:eastAsia="Arial" w:hAnsi="Arial" w:cs="Arial"/>
          <w:sz w:val="20"/>
          <w:szCs w:val="20"/>
        </w:rPr>
      </w:pPr>
    </w:p>
    <w:p w14:paraId="40D9DF02" w14:textId="77777777" w:rsidR="004C7F6E" w:rsidRDefault="004F36EF">
      <w:pPr>
        <w:pStyle w:val="Titre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 xml:space="preserve">Annexe financière à l’acte d’engagement </w:t>
      </w:r>
    </w:p>
    <w:p w14:paraId="40D9DF03" w14:textId="77777777" w:rsidR="004C7F6E" w:rsidRDefault="004C7F6E">
      <w:pPr>
        <w:tabs>
          <w:tab w:val="left" w:pos="432"/>
          <w:tab w:val="left" w:pos="4536"/>
          <w:tab w:val="left" w:pos="5103"/>
        </w:tabs>
        <w:jc w:val="both"/>
        <w:rPr>
          <w:rFonts w:ascii="Arial" w:eastAsia="Arial" w:hAnsi="Arial" w:cs="Arial"/>
          <w:sz w:val="20"/>
          <w:szCs w:val="20"/>
        </w:rPr>
      </w:pPr>
    </w:p>
    <w:p w14:paraId="40D9DF04" w14:textId="77777777" w:rsidR="004C7F6E" w:rsidRDefault="004F36EF">
      <w:pPr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Les prix de l’accord-cadre sont réputés complets et franco de port (voir article 8 du CCAP).</w:t>
      </w:r>
    </w:p>
    <w:p w14:paraId="40D9DF05" w14:textId="77777777" w:rsidR="004C7F6E" w:rsidRDefault="004C7F6E">
      <w:pPr>
        <w:jc w:val="both"/>
        <w:rPr>
          <w:rFonts w:ascii="Arial" w:eastAsia="Arial" w:hAnsi="Arial" w:cs="Arial"/>
          <w:sz w:val="20"/>
          <w:szCs w:val="20"/>
        </w:rPr>
      </w:pPr>
    </w:p>
    <w:p w14:paraId="40D9DF06" w14:textId="77777777" w:rsidR="004C7F6E" w:rsidRDefault="004C7F6E">
      <w:pPr>
        <w:jc w:val="both"/>
        <w:rPr>
          <w:rFonts w:ascii="Arial" w:eastAsia="Arial" w:hAnsi="Arial" w:cs="Arial"/>
          <w:sz w:val="20"/>
          <w:szCs w:val="20"/>
          <w:u w:val="single"/>
        </w:rPr>
      </w:pPr>
    </w:p>
    <w:p w14:paraId="40D9DF07" w14:textId="77777777" w:rsidR="004C7F6E" w:rsidRDefault="004F36EF">
      <w:pPr>
        <w:jc w:val="both"/>
        <w:rPr>
          <w:rFonts w:ascii="Arial" w:eastAsia="Arial" w:hAnsi="Arial" w:cs="Arial"/>
          <w:sz w:val="20"/>
          <w:szCs w:val="20"/>
          <w:u w:val="single"/>
        </w:rPr>
      </w:pPr>
      <w:r>
        <w:rPr>
          <w:rFonts w:ascii="Arial" w:eastAsia="Arial" w:hAnsi="Arial" w:cs="Arial"/>
          <w:sz w:val="20"/>
          <w:szCs w:val="20"/>
          <w:u w:val="single"/>
        </w:rPr>
        <w:t>Lot N°*</w:t>
      </w:r>
    </w:p>
    <w:p w14:paraId="40D9DF08" w14:textId="77777777" w:rsidR="004C7F6E" w:rsidRDefault="004C7F6E">
      <w:pPr>
        <w:jc w:val="both"/>
        <w:rPr>
          <w:rFonts w:ascii="Arial" w:eastAsia="Arial" w:hAnsi="Arial" w:cs="Arial"/>
          <w:sz w:val="20"/>
          <w:szCs w:val="20"/>
          <w:u w:val="single"/>
        </w:rPr>
      </w:pPr>
    </w:p>
    <w:p w14:paraId="40D9DF09" w14:textId="77777777" w:rsidR="004C7F6E" w:rsidRDefault="004F36EF">
      <w:pPr>
        <w:jc w:val="both"/>
        <w:rPr>
          <w:rFonts w:ascii="Arial" w:eastAsia="Arial" w:hAnsi="Arial" w:cs="Arial"/>
          <w:sz w:val="20"/>
          <w:szCs w:val="20"/>
          <w:u w:val="single"/>
        </w:rPr>
      </w:pPr>
      <w:r>
        <w:rPr>
          <w:rFonts w:ascii="Arial" w:eastAsia="Arial" w:hAnsi="Arial" w:cs="Arial"/>
          <w:sz w:val="20"/>
          <w:szCs w:val="20"/>
          <w:u w:val="single"/>
        </w:rPr>
        <w:t>* (Le candidat indique le N° du lot concerné et établit une annexe financière par lot souscrit)</w:t>
      </w:r>
    </w:p>
    <w:p w14:paraId="40D9DF0A" w14:textId="77777777" w:rsidR="004C7F6E" w:rsidRDefault="004C7F6E">
      <w:pPr>
        <w:jc w:val="both"/>
        <w:rPr>
          <w:rFonts w:ascii="Arial" w:eastAsia="Arial" w:hAnsi="Arial" w:cs="Arial"/>
          <w:sz w:val="20"/>
          <w:szCs w:val="20"/>
          <w:u w:val="single"/>
        </w:rPr>
      </w:pPr>
    </w:p>
    <w:p w14:paraId="40D9DF0B" w14:textId="77777777" w:rsidR="004C7F6E" w:rsidRDefault="004C7F6E">
      <w:pPr>
        <w:jc w:val="both"/>
        <w:rPr>
          <w:rFonts w:ascii="Arial" w:eastAsia="Arial" w:hAnsi="Arial" w:cs="Arial"/>
          <w:sz w:val="20"/>
          <w:szCs w:val="20"/>
          <w:u w:val="single"/>
        </w:rPr>
      </w:pPr>
    </w:p>
    <w:p w14:paraId="40D9DF0C" w14:textId="77777777" w:rsidR="004C7F6E" w:rsidRDefault="004C7F6E">
      <w:pPr>
        <w:jc w:val="both"/>
        <w:rPr>
          <w:rFonts w:ascii="Arial" w:eastAsia="Arial" w:hAnsi="Arial" w:cs="Arial"/>
          <w:sz w:val="20"/>
          <w:szCs w:val="20"/>
          <w:u w:val="single"/>
        </w:rPr>
      </w:pPr>
    </w:p>
    <w:p w14:paraId="40D9DF0D" w14:textId="77777777" w:rsidR="004C7F6E" w:rsidRDefault="004C7F6E">
      <w:pPr>
        <w:jc w:val="both"/>
        <w:rPr>
          <w:rFonts w:ascii="Arial" w:eastAsia="Arial" w:hAnsi="Arial" w:cs="Arial"/>
          <w:sz w:val="20"/>
          <w:szCs w:val="20"/>
          <w:u w:val="single"/>
        </w:rPr>
      </w:pPr>
    </w:p>
    <w:p w14:paraId="40D9DF0E" w14:textId="77777777" w:rsidR="004C7F6E" w:rsidRDefault="004F36EF">
      <w:pPr>
        <w:jc w:val="both"/>
        <w:rPr>
          <w:rFonts w:ascii="Arial" w:eastAsia="Arial" w:hAnsi="Arial" w:cs="Arial"/>
          <w:sz w:val="20"/>
          <w:szCs w:val="20"/>
          <w:u w:val="single"/>
        </w:rPr>
      </w:pPr>
      <w:r>
        <w:rPr>
          <w:rFonts w:ascii="Arial" w:eastAsia="Arial" w:hAnsi="Arial" w:cs="Arial"/>
          <w:sz w:val="20"/>
          <w:szCs w:val="20"/>
          <w:u w:val="single"/>
        </w:rPr>
        <w:t>Prix des documents fournis au titre du présent accord-cadre</w:t>
      </w:r>
    </w:p>
    <w:p w14:paraId="40D9DF0F" w14:textId="77777777" w:rsidR="004C7F6E" w:rsidRDefault="004C7F6E">
      <w:pPr>
        <w:rPr>
          <w:rFonts w:ascii="Arial" w:eastAsia="Arial" w:hAnsi="Arial" w:cs="Arial"/>
          <w:sz w:val="20"/>
          <w:szCs w:val="20"/>
        </w:rPr>
      </w:pPr>
    </w:p>
    <w:p w14:paraId="40D9DF10" w14:textId="77777777" w:rsidR="004C7F6E" w:rsidRDefault="004C7F6E">
      <w:pPr>
        <w:rPr>
          <w:rFonts w:ascii="Arial" w:eastAsia="Arial" w:hAnsi="Arial" w:cs="Arial"/>
          <w:sz w:val="20"/>
          <w:szCs w:val="20"/>
        </w:rPr>
      </w:pPr>
    </w:p>
    <w:p w14:paraId="40D9DF11" w14:textId="77777777" w:rsidR="004C7F6E" w:rsidRDefault="004C7F6E">
      <w:pPr>
        <w:rPr>
          <w:rFonts w:ascii="Arial" w:eastAsia="Arial" w:hAnsi="Arial" w:cs="Arial"/>
          <w:sz w:val="20"/>
          <w:szCs w:val="20"/>
        </w:rPr>
      </w:pPr>
    </w:p>
    <w:p w14:paraId="40D9DF12" w14:textId="77777777" w:rsidR="004C7F6E" w:rsidRDefault="004C7F6E">
      <w:pPr>
        <w:rPr>
          <w:rFonts w:ascii="Arial" w:eastAsia="Arial" w:hAnsi="Arial" w:cs="Arial"/>
          <w:sz w:val="20"/>
          <w:szCs w:val="20"/>
        </w:rPr>
      </w:pPr>
    </w:p>
    <w:tbl>
      <w:tblPr>
        <w:tblStyle w:val="a"/>
        <w:tblW w:w="925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700"/>
        <w:gridCol w:w="6550"/>
      </w:tblGrid>
      <w:tr w:rsidR="004C7F6E" w14:paraId="40D9DF15" w14:textId="77777777">
        <w:tc>
          <w:tcPr>
            <w:tcW w:w="2700" w:type="dxa"/>
          </w:tcPr>
          <w:p w14:paraId="40D9DF13" w14:textId="77777777" w:rsidR="004C7F6E" w:rsidRDefault="004F36EF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Taux de remise sur le prix de vente au public fixé par l’éditeur ou l’importateur</w:t>
            </w:r>
          </w:p>
        </w:tc>
        <w:tc>
          <w:tcPr>
            <w:tcW w:w="6550" w:type="dxa"/>
          </w:tcPr>
          <w:p w14:paraId="40D9DF14" w14:textId="77777777" w:rsidR="004C7F6E" w:rsidRDefault="004F36EF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Commentaires</w:t>
            </w:r>
          </w:p>
        </w:tc>
      </w:tr>
      <w:tr w:rsidR="004C7F6E" w14:paraId="40D9DF1E" w14:textId="77777777">
        <w:tc>
          <w:tcPr>
            <w:tcW w:w="2700" w:type="dxa"/>
          </w:tcPr>
          <w:p w14:paraId="40D9DF16" w14:textId="77777777" w:rsidR="004C7F6E" w:rsidRDefault="004C7F6E">
            <w:pPr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6550" w:type="dxa"/>
          </w:tcPr>
          <w:p w14:paraId="40D9DF17" w14:textId="77777777" w:rsidR="004C7F6E" w:rsidRDefault="004C7F6E">
            <w:pP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  <w:p w14:paraId="40D9DF18" w14:textId="77777777" w:rsidR="004C7F6E" w:rsidRDefault="004C7F6E">
            <w:pP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  <w:p w14:paraId="40D9DF19" w14:textId="77777777" w:rsidR="004C7F6E" w:rsidRDefault="004C7F6E">
            <w:pP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  <w:p w14:paraId="40D9DF1A" w14:textId="77777777" w:rsidR="004C7F6E" w:rsidRDefault="004C7F6E">
            <w:pP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  <w:p w14:paraId="40D9DF1B" w14:textId="77777777" w:rsidR="004C7F6E" w:rsidRDefault="004C7F6E">
            <w:pP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  <w:p w14:paraId="40D9DF1C" w14:textId="77777777" w:rsidR="004C7F6E" w:rsidRDefault="004C7F6E">
            <w:pP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  <w:p w14:paraId="40D9DF1D" w14:textId="77777777" w:rsidR="004C7F6E" w:rsidRDefault="004C7F6E">
            <w:pPr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</w:tbl>
    <w:p w14:paraId="40D9DF1F" w14:textId="77777777" w:rsidR="004C7F6E" w:rsidRDefault="004C7F6E">
      <w:pPr>
        <w:rPr>
          <w:rFonts w:ascii="Arial" w:eastAsia="Arial" w:hAnsi="Arial" w:cs="Arial"/>
          <w:sz w:val="20"/>
          <w:szCs w:val="20"/>
        </w:rPr>
      </w:pPr>
    </w:p>
    <w:p w14:paraId="40D9DF20" w14:textId="77777777" w:rsidR="004C7F6E" w:rsidRDefault="004C7F6E">
      <w:pPr>
        <w:rPr>
          <w:rFonts w:ascii="Arial" w:eastAsia="Arial" w:hAnsi="Arial" w:cs="Arial"/>
          <w:sz w:val="20"/>
          <w:szCs w:val="20"/>
        </w:rPr>
      </w:pPr>
    </w:p>
    <w:p w14:paraId="40D9DF21" w14:textId="77777777" w:rsidR="004C7F6E" w:rsidRDefault="004C7F6E">
      <w:pPr>
        <w:rPr>
          <w:rFonts w:ascii="Arial" w:eastAsia="Arial" w:hAnsi="Arial" w:cs="Arial"/>
          <w:sz w:val="20"/>
          <w:szCs w:val="20"/>
        </w:rPr>
      </w:pPr>
    </w:p>
    <w:p w14:paraId="40D9DF22" w14:textId="77777777" w:rsidR="004C7F6E" w:rsidRDefault="004F36EF">
      <w:pPr>
        <w:jc w:val="both"/>
        <w:rPr>
          <w:rFonts w:ascii="Arial" w:eastAsia="Arial" w:hAnsi="Arial" w:cs="Arial"/>
          <w:b/>
          <w:bCs/>
          <w:sz w:val="20"/>
          <w:szCs w:val="20"/>
          <w:u w:val="single"/>
        </w:rPr>
      </w:pPr>
      <w:r>
        <w:rPr>
          <w:rFonts w:ascii="Arial" w:eastAsia="Arial" w:hAnsi="Arial" w:cs="Arial"/>
          <w:sz w:val="20"/>
          <w:szCs w:val="20"/>
          <w:u w:val="single"/>
        </w:rPr>
        <w:t>Prix des services associés</w:t>
      </w:r>
    </w:p>
    <w:p w14:paraId="40D9DF23" w14:textId="77777777" w:rsidR="004C7F6E" w:rsidRDefault="004C7F6E">
      <w:pPr>
        <w:rPr>
          <w:rFonts w:ascii="Arial" w:eastAsia="Arial" w:hAnsi="Arial" w:cs="Arial"/>
          <w:sz w:val="20"/>
          <w:szCs w:val="20"/>
        </w:rPr>
      </w:pPr>
    </w:p>
    <w:p w14:paraId="40D9DF24" w14:textId="77777777" w:rsidR="004C7F6E" w:rsidRDefault="004C7F6E">
      <w:pPr>
        <w:rPr>
          <w:rFonts w:ascii="Arial" w:eastAsia="Arial" w:hAnsi="Arial" w:cs="Arial"/>
          <w:sz w:val="20"/>
          <w:szCs w:val="20"/>
        </w:rPr>
      </w:pPr>
    </w:p>
    <w:p w14:paraId="40D9DF25" w14:textId="77777777" w:rsidR="004C7F6E" w:rsidRDefault="004C7F6E">
      <w:pPr>
        <w:rPr>
          <w:rFonts w:ascii="Arial" w:eastAsia="Arial" w:hAnsi="Arial" w:cs="Arial"/>
          <w:sz w:val="20"/>
          <w:szCs w:val="20"/>
        </w:rPr>
      </w:pPr>
    </w:p>
    <w:p w14:paraId="40D9DF26" w14:textId="77777777" w:rsidR="004C7F6E" w:rsidRDefault="004C7F6E">
      <w:pPr>
        <w:rPr>
          <w:rFonts w:ascii="Arial" w:eastAsia="Arial" w:hAnsi="Arial" w:cs="Arial"/>
          <w:sz w:val="20"/>
          <w:szCs w:val="20"/>
        </w:rPr>
      </w:pPr>
    </w:p>
    <w:tbl>
      <w:tblPr>
        <w:tblStyle w:val="a0"/>
        <w:tblW w:w="925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106"/>
        <w:gridCol w:w="1701"/>
        <w:gridCol w:w="3443"/>
      </w:tblGrid>
      <w:tr w:rsidR="004C7F6E" w14:paraId="40D9DF30" w14:textId="77777777">
        <w:tc>
          <w:tcPr>
            <w:tcW w:w="4106" w:type="dxa"/>
          </w:tcPr>
          <w:p w14:paraId="40D9DF27" w14:textId="77777777" w:rsidR="004C7F6E" w:rsidRDefault="004F36EF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Prix des prestations de services associés</w:t>
            </w:r>
          </w:p>
        </w:tc>
        <w:tc>
          <w:tcPr>
            <w:tcW w:w="1701" w:type="dxa"/>
          </w:tcPr>
          <w:p w14:paraId="40D9DF28" w14:textId="77777777" w:rsidR="004C7F6E" w:rsidRDefault="004F36EF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Prix HT et TTC</w:t>
            </w:r>
          </w:p>
          <w:p w14:paraId="40D9DF29" w14:textId="77777777" w:rsidR="004C7F6E" w:rsidRDefault="004C7F6E">
            <w:pP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  <w:p w14:paraId="40D9DF2A" w14:textId="77777777" w:rsidR="004C7F6E" w:rsidRDefault="004C7F6E">
            <w:pP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  <w:p w14:paraId="40D9DF2B" w14:textId="77777777" w:rsidR="004C7F6E" w:rsidRDefault="004C7F6E">
            <w:pP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443" w:type="dxa"/>
          </w:tcPr>
          <w:p w14:paraId="40D9DF2C" w14:textId="77777777" w:rsidR="004C7F6E" w:rsidRDefault="004F36EF">
            <w:pP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Commentaires</w:t>
            </w:r>
          </w:p>
          <w:p w14:paraId="40D9DF2D" w14:textId="77777777" w:rsidR="004C7F6E" w:rsidRDefault="004C7F6E">
            <w:pP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  <w:p w14:paraId="40D9DF2E" w14:textId="77777777" w:rsidR="004C7F6E" w:rsidRDefault="004C7F6E">
            <w:pP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  <w:p w14:paraId="40D9DF2F" w14:textId="77777777" w:rsidR="004C7F6E" w:rsidRDefault="004C7F6E">
            <w:pPr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4C7F6E" w14:paraId="40D9DF37" w14:textId="77777777">
        <w:trPr>
          <w:trHeight w:val="527"/>
        </w:trPr>
        <w:tc>
          <w:tcPr>
            <w:tcW w:w="4106" w:type="dxa"/>
          </w:tcPr>
          <w:p w14:paraId="40D9DF31" w14:textId="3197936C" w:rsidR="004C7F6E" w:rsidRDefault="004F36EF">
            <w:pP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Fourniture d’un service d’antiquariat </w:t>
            </w:r>
            <w:bookmarkStart w:id="0" w:name="_GoBack"/>
            <w:bookmarkEnd w:id="0"/>
          </w:p>
          <w:p w14:paraId="40D9DF32" w14:textId="77777777" w:rsidR="004C7F6E" w:rsidRDefault="004F36EF">
            <w:pPr>
              <w:rPr>
                <w:rFonts w:ascii="Arial" w:eastAsia="Arial" w:hAnsi="Arial" w:cs="Arial"/>
                <w:color w:val="000000"/>
                <w:sz w:val="20"/>
                <w:szCs w:val="20"/>
                <w:highlight w:val="green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Le candidat indique obligatoirement quelles sont les modalités de sa rémunération dans le cas d’un recours à l’antiquariat</w:t>
            </w:r>
          </w:p>
          <w:p w14:paraId="40D9DF33" w14:textId="77777777" w:rsidR="004C7F6E" w:rsidRDefault="004C7F6E">
            <w:pPr>
              <w:rPr>
                <w:rFonts w:ascii="Arial" w:eastAsia="Arial" w:hAnsi="Arial" w:cs="Arial"/>
                <w:color w:val="000000"/>
                <w:sz w:val="20"/>
                <w:szCs w:val="20"/>
                <w:highlight w:val="green"/>
              </w:rPr>
            </w:pPr>
          </w:p>
          <w:p w14:paraId="40D9DF34" w14:textId="77777777" w:rsidR="004C7F6E" w:rsidRDefault="004C7F6E">
            <w:pPr>
              <w:rPr>
                <w:rFonts w:ascii="Arial" w:eastAsia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1701" w:type="dxa"/>
          </w:tcPr>
          <w:p w14:paraId="40D9DF35" w14:textId="77777777" w:rsidR="004C7F6E" w:rsidRDefault="004C7F6E">
            <w:pPr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3443" w:type="dxa"/>
          </w:tcPr>
          <w:p w14:paraId="40D9DF36" w14:textId="77777777" w:rsidR="004C7F6E" w:rsidRDefault="004C7F6E">
            <w:pPr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</w:tbl>
    <w:p w14:paraId="40D9DF38" w14:textId="77777777" w:rsidR="004C7F6E" w:rsidRDefault="004C7F6E">
      <w:pPr>
        <w:rPr>
          <w:rFonts w:ascii="Arial" w:eastAsia="Arial" w:hAnsi="Arial" w:cs="Arial"/>
          <w:sz w:val="20"/>
          <w:szCs w:val="20"/>
        </w:rPr>
      </w:pPr>
    </w:p>
    <w:p w14:paraId="40D9DF3A" w14:textId="77777777" w:rsidR="004C7F6E" w:rsidRDefault="004C7F6E">
      <w:pPr>
        <w:rPr>
          <w:rFonts w:ascii="Arial" w:eastAsia="Arial" w:hAnsi="Arial" w:cs="Arial"/>
          <w:sz w:val="20"/>
          <w:szCs w:val="20"/>
        </w:rPr>
      </w:pPr>
    </w:p>
    <w:p w14:paraId="40D9DF3B" w14:textId="77777777" w:rsidR="004C7F6E" w:rsidRDefault="004F36EF">
      <w:pPr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Pour des raisons de commodité, le candidat peut adapter dans son offre la présente annexe financière sous réserve du respect des rubriques fixées dans la présente annexe.</w:t>
      </w:r>
    </w:p>
    <w:p w14:paraId="40D9DF3C" w14:textId="77777777" w:rsidR="004C7F6E" w:rsidRDefault="004C7F6E">
      <w:pPr>
        <w:ind w:left="708"/>
        <w:rPr>
          <w:rFonts w:ascii="Arial" w:eastAsia="Arial" w:hAnsi="Arial" w:cs="Arial"/>
          <w:sz w:val="20"/>
          <w:szCs w:val="20"/>
        </w:rPr>
      </w:pPr>
    </w:p>
    <w:p w14:paraId="40D9DF3D" w14:textId="77777777" w:rsidR="004C7F6E" w:rsidRDefault="004C7F6E"/>
    <w:sectPr w:rsidR="004C7F6E">
      <w:headerReference w:type="default" r:id="rId6"/>
      <w:pgSz w:w="11906" w:h="16838"/>
      <w:pgMar w:top="1417" w:right="1417" w:bottom="1417" w:left="1417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0D9DF44" w14:textId="77777777" w:rsidR="00000000" w:rsidRDefault="004F36EF">
      <w:r>
        <w:separator/>
      </w:r>
    </w:p>
  </w:endnote>
  <w:endnote w:type="continuationSeparator" w:id="0">
    <w:p w14:paraId="40D9DF46" w14:textId="77777777" w:rsidR="00000000" w:rsidRDefault="004F36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Georgia">
    <w:panose1 w:val="02040502050405020303"/>
    <w:charset w:val="00"/>
    <w:family w:val="auto"/>
    <w:pitch w:val="default"/>
    <w:embedItalic r:id="rId1" w:fontKey="{F88B922B-AC3B-4AEC-BA9A-F3170C378C81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2" w:fontKey="{E7757C81-35AD-4797-9097-1512F6FCF3A5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1DBBCD66-F76F-4858-B82B-7097DE00D4F0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0D9DF40" w14:textId="77777777" w:rsidR="00000000" w:rsidRDefault="004F36EF">
      <w:r>
        <w:separator/>
      </w:r>
    </w:p>
  </w:footnote>
  <w:footnote w:type="continuationSeparator" w:id="0">
    <w:p w14:paraId="40D9DF42" w14:textId="77777777" w:rsidR="00000000" w:rsidRDefault="004F36E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0D9DF3E" w14:textId="77777777" w:rsidR="004C7F6E" w:rsidRDefault="004F36EF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  <w:r>
      <w:rPr>
        <w:noProof/>
        <w:color w:val="000000"/>
      </w:rPr>
      <w:drawing>
        <wp:inline distT="0" distB="0" distL="0" distR="0" wp14:anchorId="40D9DF40" wp14:editId="40D9DF41">
          <wp:extent cx="2151551" cy="562823"/>
          <wp:effectExtent l="0" t="0" r="0" b="0"/>
          <wp:docPr id="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151551" cy="562823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40D9DF3F" w14:textId="77777777" w:rsidR="004C7F6E" w:rsidRDefault="004C7F6E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bestFit" w:percent="148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C7F6E"/>
    <w:rsid w:val="004C7F6E"/>
    <w:rsid w:val="004F36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D9DF01"/>
  <w15:docId w15:val="{050FF5E5-362F-4535-959B-47CD4617B2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sz w:val="24"/>
        <w:szCs w:val="24"/>
        <w:lang w:val="fr" w:eastAsia="fr-FR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Titre2">
    <w:name w:val="heading 2"/>
    <w:basedOn w:val="Normal"/>
    <w:next w:val="Normal"/>
    <w:uiPriority w:val="9"/>
    <w:unhideWhenUsed/>
    <w:qFormat/>
    <w:pPr>
      <w:keepNext/>
      <w:jc w:val="center"/>
      <w:outlineLvl w:val="1"/>
    </w:pPr>
    <w:rPr>
      <w:b/>
      <w:bCs/>
    </w:rPr>
  </w:style>
  <w:style w:type="paragraph" w:styleId="Titre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Titre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</w:rPr>
  </w:style>
  <w:style w:type="paragraph" w:styleId="Titre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Titre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r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Sous-titr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133</Words>
  <Characters>736</Characters>
  <Application>Microsoft Office Word</Application>
  <DocSecurity>0</DocSecurity>
  <Lines>6</Lines>
  <Paragraphs>1</Paragraphs>
  <ScaleCrop>false</ScaleCrop>
  <Company>bpi</Company>
  <LinksUpToDate>false</LinksUpToDate>
  <CharactersWithSpaces>868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Dominique ROUILLARD</cp:lastModifiedBy>
  <cp:revision>2</cp:revision>
  <dcterms:created xsi:type="dcterms:W3CDTF">2026-02-04T16:55:00Z</dcterms:created>
  <dcterms:modified xsi:type="dcterms:W3CDTF">2026-02-04T16:56:00Z</dcterms:modified>
</cp:coreProperties>
</file>